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7C08EA" w:rsidP="00273FD9">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492240" cy="9601200"/>
                <wp:effectExtent l="38100" t="38100" r="228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C11F" id="Прямоугольник 4" o:spid="_x0000_s1026" style="position:absolute;margin-left:0;margin-top:9pt;width:511.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390"/>
        <w:gridCol w:w="3280"/>
        <w:gridCol w:w="3397"/>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76B06">
              <w:rPr>
                <w:sz w:val="20"/>
                <w:szCs w:val="20"/>
              </w:rPr>
              <w:t>Д.Г. Коротков</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7C08EA" w:rsidP="00273FD9">
      <w:pPr>
        <w:keepNext/>
        <w:keepLines/>
        <w:shd w:val="clear" w:color="auto" w:fill="FFFFFF"/>
        <w:suppressAutoHyphens/>
        <w:ind w:left="86"/>
        <w:jc w:val="right"/>
        <w:rPr>
          <w:i/>
        </w:rPr>
      </w:pPr>
      <w:r>
        <w:rPr>
          <w:noProof/>
        </w:rPr>
        <mc:AlternateContent>
          <mc:Choice Requires="wps">
            <w:drawing>
              <wp:inline distT="0" distB="0" distL="0" distR="0">
                <wp:extent cx="304800" cy="304800"/>
                <wp:effectExtent l="0" t="0" r="0" b="254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75B58"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6357BD" w:rsidRDefault="007C08EA" w:rsidP="00360C0B">
      <w:pPr>
        <w:keepNext/>
        <w:keepLines/>
        <w:shd w:val="clear" w:color="auto" w:fill="FFFFFF"/>
        <w:suppressAutoHyphens/>
        <w:ind w:left="86"/>
        <w:jc w:val="center"/>
        <w:rPr>
          <w:i/>
        </w:rPr>
      </w:pPr>
      <w:r>
        <w:rPr>
          <w:noProof/>
        </w:rPr>
        <mc:AlternateContent>
          <mc:Choice Requires="wps">
            <w:drawing>
              <wp:inline distT="0" distB="0" distL="0" distR="0">
                <wp:extent cx="304800" cy="304800"/>
                <wp:effectExtent l="3810" t="0" r="0" b="254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71153"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6357BD" w:rsidRPr="00B6523A" w:rsidRDefault="00476B06" w:rsidP="00273FD9">
      <w:pPr>
        <w:keepNext/>
        <w:keepLines/>
        <w:shd w:val="clear" w:color="auto" w:fill="FFFFFF"/>
        <w:suppressAutoHyphens/>
        <w:ind w:left="86"/>
        <w:jc w:val="center"/>
        <w:rPr>
          <w:i/>
        </w:rPr>
      </w:pPr>
      <w:r>
        <w:rPr>
          <w:noProof/>
        </w:rPr>
        <w:drawing>
          <wp:inline distT="0" distB="0" distL="0" distR="0" wp14:anchorId="4D0EFCC4" wp14:editId="5303B6E1">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bookmarkStart w:id="1" w:name="_GoBack"/>
      <w:bookmarkEnd w:id="1"/>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460939">
        <w:rPr>
          <w:i/>
          <w:iCs/>
        </w:rPr>
        <w:t>пляжному волейболу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C468C2" w:rsidRDefault="00560F0F" w:rsidP="00C468C2">
      <w:pPr>
        <w:keepNext/>
        <w:keepLines/>
        <w:shd w:val="clear" w:color="auto" w:fill="FFFFFF"/>
        <w:suppressAutoHyphens/>
        <w:ind w:left="86"/>
        <w:jc w:val="center"/>
        <w:rPr>
          <w:i/>
          <w:spacing w:val="-21"/>
        </w:rPr>
      </w:pPr>
      <w:r w:rsidRPr="00B6523A">
        <w:rPr>
          <w:i/>
          <w:spacing w:val="-21"/>
        </w:rPr>
        <w:t>г. Москва</w:t>
      </w:r>
      <w:r w:rsidR="00C468C2">
        <w:rPr>
          <w:i/>
          <w:spacing w:val="-21"/>
        </w:rPr>
        <w:t xml:space="preserve"> 2020 г.</w:t>
      </w:r>
    </w:p>
    <w:p w:rsidR="00ED1456" w:rsidRDefault="0008220C" w:rsidP="00C468C2">
      <w:pPr>
        <w:keepNext/>
        <w:keepLines/>
        <w:shd w:val="clear" w:color="auto" w:fill="FFFFFF"/>
        <w:suppressAutoHyphens/>
        <w:ind w:left="86"/>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460939">
        <w:rPr>
          <w:rFonts w:eastAsia="MS Mincho"/>
          <w:bCs/>
          <w:iCs/>
        </w:rPr>
        <w:t xml:space="preserve"> пляжному волейболу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460939" w:rsidRDefault="00932133" w:rsidP="00D73974">
      <w:pPr>
        <w:pStyle w:val="ae"/>
        <w:keepNext/>
        <w:keepLines/>
        <w:numPr>
          <w:ilvl w:val="1"/>
          <w:numId w:val="7"/>
        </w:numPr>
        <w:pBdr>
          <w:top w:val="nil"/>
          <w:left w:val="nil"/>
          <w:bottom w:val="nil"/>
          <w:right w:val="nil"/>
          <w:between w:val="nil"/>
        </w:pBdr>
        <w:spacing w:before="200"/>
        <w:jc w:val="both"/>
        <w:rPr>
          <w:rFonts w:ascii="Times New Roman" w:hAnsi="Times New Roman"/>
          <w:color w:val="000000"/>
          <w:sz w:val="24"/>
          <w:szCs w:val="24"/>
        </w:rPr>
      </w:pPr>
      <w:r w:rsidRPr="00D73974">
        <w:rPr>
          <w:rFonts w:ascii="Times New Roman" w:eastAsia="MS Mincho" w:hAnsi="Times New Roman"/>
          <w:b/>
          <w:bCs/>
          <w:iCs/>
          <w:sz w:val="24"/>
          <w:szCs w:val="24"/>
          <w:lang w:eastAsia="ar-SA"/>
        </w:rPr>
        <w:t xml:space="preserve">Срок </w:t>
      </w:r>
      <w:r w:rsidR="00D5798D" w:rsidRPr="00D73974">
        <w:rPr>
          <w:rFonts w:ascii="Times New Roman" w:eastAsia="MS Mincho" w:hAnsi="Times New Roman"/>
          <w:b/>
          <w:bCs/>
          <w:iCs/>
          <w:sz w:val="24"/>
          <w:szCs w:val="24"/>
          <w:lang w:eastAsia="ar-SA"/>
        </w:rPr>
        <w:t xml:space="preserve">и места </w:t>
      </w:r>
      <w:r w:rsidRPr="00D73974">
        <w:rPr>
          <w:rFonts w:ascii="Times New Roman" w:eastAsia="MS Mincho" w:hAnsi="Times New Roman"/>
          <w:b/>
          <w:bCs/>
          <w:iCs/>
          <w:sz w:val="24"/>
          <w:szCs w:val="24"/>
          <w:lang w:eastAsia="ar-SA"/>
        </w:rPr>
        <w:t xml:space="preserve">проведения соревнований: </w:t>
      </w:r>
      <w:r w:rsidR="00D73974" w:rsidRPr="00D73974">
        <w:rPr>
          <w:rFonts w:ascii="Times New Roman" w:hAnsi="Times New Roman"/>
          <w:color w:val="000000"/>
          <w:sz w:val="24"/>
          <w:szCs w:val="24"/>
        </w:rPr>
        <w:t>21</w:t>
      </w:r>
      <w:r w:rsidR="00D73974">
        <w:rPr>
          <w:rFonts w:ascii="Times New Roman" w:hAnsi="Times New Roman"/>
          <w:color w:val="000000"/>
          <w:sz w:val="24"/>
          <w:szCs w:val="24"/>
        </w:rPr>
        <w:t xml:space="preserve"> </w:t>
      </w:r>
      <w:r w:rsidR="00D73974" w:rsidRPr="00D73974">
        <w:rPr>
          <w:rFonts w:ascii="Times New Roman" w:hAnsi="Times New Roman"/>
          <w:color w:val="000000"/>
          <w:sz w:val="24"/>
          <w:szCs w:val="24"/>
        </w:rPr>
        <w:t>и</w:t>
      </w:r>
      <w:r w:rsidR="00D73974">
        <w:rPr>
          <w:rFonts w:ascii="Times New Roman" w:hAnsi="Times New Roman"/>
          <w:color w:val="000000"/>
          <w:sz w:val="24"/>
          <w:szCs w:val="24"/>
        </w:rPr>
        <w:t xml:space="preserve"> </w:t>
      </w:r>
      <w:r w:rsidR="00C468C2" w:rsidRPr="00D73974">
        <w:rPr>
          <w:rFonts w:ascii="Times New Roman" w:hAnsi="Times New Roman"/>
          <w:color w:val="000000"/>
          <w:sz w:val="24"/>
          <w:szCs w:val="24"/>
        </w:rPr>
        <w:t>22</w:t>
      </w:r>
      <w:r w:rsidR="007C08EA">
        <w:rPr>
          <w:rFonts w:ascii="Times New Roman" w:hAnsi="Times New Roman"/>
          <w:color w:val="000000"/>
          <w:sz w:val="24"/>
          <w:szCs w:val="24"/>
        </w:rPr>
        <w:t xml:space="preserve"> </w:t>
      </w:r>
      <w:r w:rsidR="00C468C2" w:rsidRPr="00D73974">
        <w:rPr>
          <w:rFonts w:ascii="Times New Roman" w:hAnsi="Times New Roman"/>
          <w:color w:val="000000"/>
          <w:sz w:val="24"/>
          <w:szCs w:val="24"/>
        </w:rPr>
        <w:t>марта 2020</w:t>
      </w:r>
      <w:r w:rsidR="00476B06">
        <w:rPr>
          <w:rFonts w:ascii="Times New Roman" w:hAnsi="Times New Roman"/>
          <w:color w:val="000000"/>
          <w:sz w:val="24"/>
          <w:szCs w:val="24"/>
        </w:rPr>
        <w:t xml:space="preserve"> </w:t>
      </w:r>
      <w:r w:rsidR="00460939" w:rsidRPr="00D73974">
        <w:rPr>
          <w:rFonts w:ascii="Times New Roman" w:hAnsi="Times New Roman"/>
          <w:color w:val="000000"/>
          <w:sz w:val="24"/>
          <w:szCs w:val="24"/>
        </w:rPr>
        <w:t xml:space="preserve">г. Пляжный центр «2на2 </w:t>
      </w:r>
      <w:r w:rsidR="00460939" w:rsidRPr="00D73974">
        <w:rPr>
          <w:rFonts w:ascii="Times New Roman" w:hAnsi="Times New Roman"/>
          <w:color w:val="000000"/>
          <w:sz w:val="24"/>
          <w:szCs w:val="24"/>
          <w:lang w:val="en-US"/>
        </w:rPr>
        <w:t>team</w:t>
      </w:r>
      <w:r w:rsidR="00460939" w:rsidRPr="00D73974">
        <w:rPr>
          <w:rFonts w:ascii="Times New Roman" w:hAnsi="Times New Roman"/>
          <w:color w:val="000000"/>
          <w:sz w:val="24"/>
          <w:szCs w:val="24"/>
        </w:rPr>
        <w:t>» (г. Москва, 2-я Лыковская</w:t>
      </w:r>
      <w:r w:rsidR="00476B06">
        <w:rPr>
          <w:rFonts w:ascii="Times New Roman" w:hAnsi="Times New Roman"/>
          <w:color w:val="000000"/>
          <w:sz w:val="24"/>
          <w:szCs w:val="24"/>
        </w:rPr>
        <w:t xml:space="preserve"> ул.,</w:t>
      </w:r>
      <w:r w:rsidR="00460939" w:rsidRPr="00D73974">
        <w:rPr>
          <w:rFonts w:ascii="Times New Roman" w:hAnsi="Times New Roman"/>
          <w:color w:val="000000"/>
          <w:sz w:val="24"/>
          <w:szCs w:val="24"/>
        </w:rPr>
        <w:t xml:space="preserve"> д.73А).</w:t>
      </w:r>
      <w:r w:rsidR="00476B06">
        <w:rPr>
          <w:rFonts w:ascii="Times New Roman" w:hAnsi="Times New Roman"/>
          <w:color w:val="000000"/>
          <w:sz w:val="24"/>
          <w:szCs w:val="24"/>
        </w:rPr>
        <w:t xml:space="preserve"> Начало соревнований в 15.00.</w:t>
      </w:r>
    </w:p>
    <w:p w:rsidR="00476B06" w:rsidRPr="00D73974" w:rsidRDefault="00476B06" w:rsidP="00D73974">
      <w:pPr>
        <w:pStyle w:val="ae"/>
        <w:keepNext/>
        <w:keepLines/>
        <w:numPr>
          <w:ilvl w:val="1"/>
          <w:numId w:val="7"/>
        </w:numPr>
        <w:pBdr>
          <w:top w:val="nil"/>
          <w:left w:val="nil"/>
          <w:bottom w:val="nil"/>
          <w:right w:val="nil"/>
          <w:between w:val="nil"/>
        </w:pBdr>
        <w:spacing w:before="200"/>
        <w:jc w:val="both"/>
        <w:rPr>
          <w:rFonts w:ascii="Times New Roman" w:hAnsi="Times New Roman"/>
          <w:color w:val="000000"/>
          <w:sz w:val="24"/>
          <w:szCs w:val="24"/>
        </w:rPr>
      </w:pPr>
      <w:r>
        <w:rPr>
          <w:rFonts w:ascii="Times New Roman" w:eastAsia="MS Mincho" w:hAnsi="Times New Roman"/>
          <w:b/>
          <w:bCs/>
          <w:iCs/>
          <w:sz w:val="24"/>
          <w:szCs w:val="24"/>
          <w:lang w:eastAsia="ar-SA"/>
        </w:rPr>
        <w:t>Мандатная комиссия 18 марта с 10.</w:t>
      </w:r>
      <w:r w:rsidRPr="00476B06">
        <w:rPr>
          <w:rFonts w:ascii="Times New Roman" w:hAnsi="Times New Roman"/>
          <w:b/>
          <w:bCs/>
          <w:color w:val="000000"/>
          <w:sz w:val="24"/>
          <w:szCs w:val="24"/>
        </w:rPr>
        <w:t>00 до 16.00</w:t>
      </w:r>
      <w:r>
        <w:rPr>
          <w:rFonts w:ascii="Times New Roman" w:hAnsi="Times New Roman"/>
          <w:color w:val="000000"/>
          <w:sz w:val="24"/>
          <w:szCs w:val="24"/>
        </w:rPr>
        <w:t xml:space="preserve"> в офисе МРО РССС по адресу: Красноказарменная улица, дом 13, строение 5, корпус М, 2-ой этаж. </w:t>
      </w:r>
    </w:p>
    <w:p w:rsidR="00580CA9" w:rsidRPr="00B17581" w:rsidRDefault="00580CA9" w:rsidP="00460939">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460939" w:rsidRPr="00460939" w:rsidRDefault="00460939" w:rsidP="00460939">
      <w:pPr>
        <w:pBdr>
          <w:top w:val="nil"/>
          <w:left w:val="nil"/>
          <w:bottom w:val="nil"/>
          <w:right w:val="nil"/>
          <w:between w:val="nil"/>
        </w:pBdr>
        <w:spacing w:line="276" w:lineRule="auto"/>
        <w:ind w:firstLine="708"/>
        <w:jc w:val="both"/>
        <w:rPr>
          <w:color w:val="000000"/>
          <w:highlight w:val="white"/>
        </w:rPr>
      </w:pPr>
      <w:r>
        <w:rPr>
          <w:color w:val="000000"/>
        </w:rPr>
        <w:t xml:space="preserve">5.1. </w:t>
      </w:r>
      <w:r w:rsidRPr="00460939">
        <w:rPr>
          <w:color w:val="000000"/>
        </w:rPr>
        <w:t xml:space="preserve">Состав команды - 2 человека. </w:t>
      </w:r>
    </w:p>
    <w:p w:rsidR="00185143" w:rsidRDefault="00460939" w:rsidP="00460939">
      <w:pPr>
        <w:pBdr>
          <w:top w:val="nil"/>
          <w:left w:val="nil"/>
          <w:bottom w:val="nil"/>
          <w:right w:val="nil"/>
          <w:between w:val="nil"/>
        </w:pBdr>
        <w:spacing w:line="276" w:lineRule="auto"/>
        <w:ind w:firstLine="708"/>
        <w:jc w:val="both"/>
        <w:rPr>
          <w:color w:val="000000"/>
        </w:rPr>
      </w:pPr>
      <w:r>
        <w:rPr>
          <w:color w:val="000000"/>
        </w:rPr>
        <w:t xml:space="preserve">5.2. </w:t>
      </w:r>
      <w:r w:rsidRPr="00460939">
        <w:rPr>
          <w:color w:val="000000"/>
        </w:rPr>
        <w:t xml:space="preserve">Состав участников Соревнования формируется на основании заявок, поданных в МРО РССС. </w:t>
      </w:r>
      <w:r w:rsidR="00C468C2">
        <w:rPr>
          <w:color w:val="000000"/>
        </w:rPr>
        <w:t>Максимальное количество участников в мужской</w:t>
      </w:r>
      <w:r w:rsidRPr="00460939">
        <w:rPr>
          <w:color w:val="000000"/>
        </w:rPr>
        <w:t xml:space="preserve"> </w:t>
      </w:r>
      <w:r w:rsidR="00C468C2">
        <w:rPr>
          <w:color w:val="000000"/>
        </w:rPr>
        <w:t>и женской сетках по 32 команды</w:t>
      </w:r>
      <w:r w:rsidRPr="00460939">
        <w:rPr>
          <w:color w:val="000000"/>
        </w:rPr>
        <w:t xml:space="preserve">. </w:t>
      </w:r>
      <w:r w:rsidR="00C468C2">
        <w:rPr>
          <w:color w:val="000000"/>
        </w:rPr>
        <w:t>О</w:t>
      </w:r>
      <w:r w:rsidR="00D73974">
        <w:rPr>
          <w:color w:val="000000"/>
        </w:rPr>
        <w:t xml:space="preserve">т </w:t>
      </w:r>
      <w:r w:rsidR="00476B06">
        <w:rPr>
          <w:color w:val="000000"/>
        </w:rPr>
        <w:t>вуз</w:t>
      </w:r>
      <w:r w:rsidR="00C468C2">
        <w:rPr>
          <w:color w:val="000000"/>
        </w:rPr>
        <w:t xml:space="preserve">а </w:t>
      </w:r>
      <w:r w:rsidR="00D73974">
        <w:rPr>
          <w:color w:val="000000"/>
        </w:rPr>
        <w:t>допускается заявка не более 2-х мужских и 2-х женских пар.</w:t>
      </w:r>
      <w:r w:rsidR="00476B06">
        <w:rPr>
          <w:color w:val="000000"/>
        </w:rPr>
        <w:t xml:space="preserve"> Участие легионеров в составах команд не допускается. </w:t>
      </w:r>
    </w:p>
    <w:p w:rsidR="00460939" w:rsidRPr="00460939" w:rsidRDefault="00460939" w:rsidP="00460939">
      <w:pPr>
        <w:pBdr>
          <w:top w:val="nil"/>
          <w:left w:val="nil"/>
          <w:bottom w:val="nil"/>
          <w:right w:val="nil"/>
          <w:between w:val="nil"/>
        </w:pBdr>
        <w:spacing w:line="276" w:lineRule="auto"/>
        <w:ind w:firstLine="708"/>
        <w:contextualSpacing/>
        <w:jc w:val="both"/>
        <w:rPr>
          <w:color w:val="000000"/>
        </w:rPr>
      </w:pPr>
      <w:r w:rsidRPr="00460939">
        <w:rPr>
          <w:color w:val="000000"/>
        </w:rPr>
        <w:t>5.3. Распределение</w:t>
      </w:r>
      <w:r w:rsidRPr="00460939">
        <w:rPr>
          <w:color w:val="000000"/>
        </w:rPr>
        <w:tab/>
        <w:t xml:space="preserve">команд в таблице перед началом Соревнования происходит методом слепой жеребьёвки. </w:t>
      </w:r>
    </w:p>
    <w:p w:rsidR="00460939" w:rsidRPr="00460939" w:rsidRDefault="00460939" w:rsidP="00460939">
      <w:pPr>
        <w:pBdr>
          <w:top w:val="nil"/>
          <w:left w:val="nil"/>
          <w:bottom w:val="nil"/>
          <w:right w:val="nil"/>
          <w:between w:val="nil"/>
        </w:pBdr>
        <w:spacing w:line="276" w:lineRule="auto"/>
        <w:jc w:val="both"/>
        <w:rPr>
          <w:color w:val="000000"/>
          <w:highlight w:val="white"/>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476B06">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476B06" w:rsidRDefault="00593376" w:rsidP="00593376">
      <w:pPr>
        <w:suppressAutoHyphens/>
        <w:autoSpaceDE w:val="0"/>
        <w:spacing w:line="276" w:lineRule="auto"/>
        <w:ind w:firstLine="708"/>
        <w:jc w:val="both"/>
      </w:pPr>
      <w:r>
        <w:rPr>
          <w:rFonts w:eastAsia="MS Mincho"/>
          <w:spacing w:val="-10"/>
          <w:lang w:eastAsia="ar-SA"/>
        </w:rPr>
        <w:lastRenderedPageBreak/>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00476B06" w:rsidRPr="00476B06">
          <w:rPr>
            <w:color w:val="0000FF"/>
            <w:u w:val="single"/>
          </w:rPr>
          <w:t>https://mrsss.ru/sites/mrsss.ru/files/polozhenie_xxxii_mssi.pdf</w:t>
        </w:r>
      </w:hyperlink>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«Наградион»</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«Наградион»</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476B0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476B06">
        <w:rPr>
          <w:rFonts w:eastAsia="MS Mincho"/>
          <w:spacing w:val="-10"/>
        </w:rPr>
        <w:t xml:space="preserve">первый этап </w:t>
      </w:r>
      <w:r w:rsidR="00932133" w:rsidRPr="00185143">
        <w:rPr>
          <w:rFonts w:eastAsia="MS Mincho"/>
          <w:spacing w:val="-10"/>
          <w:lang w:val="en-US"/>
        </w:rPr>
        <w:t>XXX</w:t>
      </w:r>
      <w:r w:rsidR="00476B06">
        <w:rPr>
          <w:rFonts w:eastAsia="MS Mincho"/>
          <w:spacing w:val="-10"/>
          <w:lang w:val="en-US"/>
        </w:rPr>
        <w:t>II</w:t>
      </w:r>
      <w:r w:rsidR="00932133" w:rsidRPr="00185143">
        <w:rPr>
          <w:rFonts w:eastAsia="MS Mincho"/>
          <w:spacing w:val="-10"/>
        </w:rPr>
        <w:t xml:space="preserve"> МСС</w:t>
      </w:r>
      <w:r w:rsidR="00476B06">
        <w:rPr>
          <w:rFonts w:eastAsia="MS Mincho"/>
          <w:spacing w:val="-10"/>
        </w:rPr>
        <w:t>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476B06">
        <w:rPr>
          <w:rFonts w:eastAsia="MS Mincho"/>
          <w:spacing w:val="-10"/>
          <w:lang w:val="en-US"/>
        </w:rPr>
        <w:t>I</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476B06">
        <w:rPr>
          <w:lang w:eastAsia="ar-SA"/>
        </w:rPr>
        <w:t>с подписью ответственного в вузе за спорт и печатью вуза и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476B06">
        <w:rPr>
          <w:lang w:eastAsia="ar-SA"/>
        </w:rPr>
        <w:t xml:space="preserve"> с отметкой о продлении на текущий учебный год либо справку из деканата</w:t>
      </w:r>
    </w:p>
    <w:p w:rsidR="006E2050" w:rsidRPr="00476B06"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476B06" w:rsidRPr="00580CA9" w:rsidRDefault="00476B06" w:rsidP="006E2050">
      <w:pPr>
        <w:numPr>
          <w:ilvl w:val="0"/>
          <w:numId w:val="1"/>
        </w:numPr>
        <w:suppressAutoHyphens/>
        <w:spacing w:line="276" w:lineRule="auto"/>
        <w:jc w:val="both"/>
        <w:rPr>
          <w:rFonts w:eastAsia="MS Mincho"/>
          <w:i/>
          <w:iCs/>
          <w:lang w:eastAsia="ar-SA"/>
        </w:rPr>
      </w:pPr>
      <w:r>
        <w:rPr>
          <w:lang w:eastAsia="ar-SA"/>
        </w:rPr>
        <w:t>лицензию игрока.</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460939" w:rsidRDefault="00460939" w:rsidP="00460939">
      <w:pPr>
        <w:pStyle w:val="ae"/>
        <w:widowControl w:val="0"/>
        <w:autoSpaceDE w:val="0"/>
        <w:autoSpaceDN w:val="0"/>
        <w:adjustRightInd w:val="0"/>
        <w:spacing w:after="0"/>
        <w:ind w:left="1069"/>
        <w:rPr>
          <w:rFonts w:ascii="Times New Roman" w:eastAsia="MS Mincho" w:hAnsi="Times New Roman"/>
          <w:b/>
          <w:sz w:val="28"/>
          <w:szCs w:val="28"/>
        </w:rPr>
      </w:pPr>
    </w:p>
    <w:p w:rsidR="00460939" w:rsidRPr="00460939" w:rsidRDefault="00460939" w:rsidP="00460939">
      <w:pPr>
        <w:ind w:firstLine="708"/>
        <w:jc w:val="both"/>
      </w:pPr>
      <w:r>
        <w:t xml:space="preserve">7.1. </w:t>
      </w:r>
      <w:r w:rsidRPr="00460939">
        <w:t>Соревнования проводятся раздельно среди женщин и мужчин, в соответствии с «Правилами пляжного волейбола ВФВ», по усовершенствованной олимпийской системе «до двух поражений».</w:t>
      </w:r>
    </w:p>
    <w:p w:rsidR="00460939" w:rsidRPr="00460939" w:rsidRDefault="00460939" w:rsidP="00460939">
      <w:pPr>
        <w:ind w:firstLine="708"/>
      </w:pPr>
      <w:r>
        <w:t xml:space="preserve">7.2. </w:t>
      </w:r>
      <w:r w:rsidRPr="00460939">
        <w:t>Все игры состоят из 3 парти</w:t>
      </w:r>
      <w:r>
        <w:t>й</w:t>
      </w:r>
      <w:r w:rsidRPr="00460939">
        <w:t xml:space="preserve"> до 15 очков</w:t>
      </w:r>
      <w:r>
        <w:t>.</w:t>
      </w:r>
    </w:p>
    <w:p w:rsidR="00460939" w:rsidRPr="00460939" w:rsidRDefault="00460939" w:rsidP="00460939">
      <w:pPr>
        <w:ind w:firstLine="708"/>
        <w:jc w:val="both"/>
        <w:rPr>
          <w:highlight w:val="yellow"/>
        </w:rPr>
      </w:pPr>
      <w:r>
        <w:t xml:space="preserve">7.3. </w:t>
      </w:r>
      <w:r w:rsidRPr="00460939">
        <w:t>Полуфинальные, за 3 место и Финальные игры пройдут из 3 партий до 21 очка (до 2 выигранных партий).</w:t>
      </w:r>
      <w:bookmarkStart w:id="2" w:name="_z337ya" w:colFirst="0" w:colLast="0"/>
      <w:bookmarkEnd w:id="2"/>
    </w:p>
    <w:p w:rsidR="00460939" w:rsidRPr="00460939" w:rsidRDefault="00460939" w:rsidP="00460939">
      <w:pPr>
        <w:pBdr>
          <w:top w:val="nil"/>
          <w:left w:val="nil"/>
          <w:bottom w:val="nil"/>
          <w:right w:val="nil"/>
          <w:between w:val="nil"/>
        </w:pBdr>
        <w:spacing w:after="200" w:line="276" w:lineRule="auto"/>
        <w:ind w:firstLine="708"/>
        <w:jc w:val="both"/>
        <w:rPr>
          <w:color w:val="000000"/>
        </w:rPr>
      </w:pPr>
      <w:r>
        <w:rPr>
          <w:color w:val="000000"/>
        </w:rPr>
        <w:t xml:space="preserve">7.4. </w:t>
      </w:r>
      <w:r w:rsidRPr="00460939">
        <w:rPr>
          <w:color w:val="000000"/>
        </w:rPr>
        <w:t>Команды допускаются до соревнований в единой форме, соответствующей «Официальным Правилам пляжного волейбола».</w:t>
      </w:r>
      <w:bookmarkStart w:id="3" w:name="_2xcytpi" w:colFirst="0" w:colLast="0"/>
      <w:bookmarkEnd w:id="3"/>
      <w:r w:rsidRPr="00460939">
        <w:rPr>
          <w:color w:val="000000"/>
        </w:rPr>
        <w:t xml:space="preserve"> </w:t>
      </w:r>
      <w:bookmarkStart w:id="4" w:name="_2bn6wsx" w:colFirst="0" w:colLast="0"/>
      <w:bookmarkStart w:id="5" w:name="_qsh70q" w:colFirst="0" w:colLast="0"/>
      <w:bookmarkStart w:id="6" w:name="_3o7alnk" w:colFirst="0" w:colLast="0"/>
      <w:bookmarkStart w:id="7" w:name="_23ckvvd" w:colFirst="0" w:colLast="0"/>
      <w:bookmarkStart w:id="8" w:name="_ihv636" w:colFirst="0" w:colLast="0"/>
      <w:bookmarkStart w:id="9" w:name="_41mghml" w:colFirst="0" w:colLast="0"/>
      <w:bookmarkStart w:id="10" w:name="_2grqrue" w:colFirst="0" w:colLast="0"/>
      <w:bookmarkStart w:id="11" w:name="_2u6wntf" w:colFirst="0" w:colLast="0"/>
      <w:bookmarkEnd w:id="4"/>
      <w:bookmarkEnd w:id="5"/>
      <w:bookmarkEnd w:id="6"/>
      <w:bookmarkEnd w:id="7"/>
      <w:bookmarkEnd w:id="8"/>
      <w:bookmarkEnd w:id="9"/>
      <w:bookmarkEnd w:id="10"/>
      <w:bookmarkEnd w:id="11"/>
    </w:p>
    <w:p w:rsidR="005F749E" w:rsidRDefault="00460939" w:rsidP="00460939">
      <w:pPr>
        <w:ind w:left="2832" w:right="-24" w:firstLine="708"/>
        <w:rPr>
          <w:b/>
          <w:sz w:val="28"/>
          <w:szCs w:val="28"/>
          <w:lang w:eastAsia="ar-SA"/>
        </w:rPr>
      </w:pPr>
      <w:r w:rsidRPr="00460939">
        <w:rPr>
          <w:b/>
          <w:sz w:val="28"/>
          <w:szCs w:val="28"/>
        </w:rPr>
        <w:t>8.</w:t>
      </w:r>
      <w:r>
        <w:t xml:space="preserve"> </w:t>
      </w:r>
      <w:r w:rsidR="00676E71" w:rsidRPr="00460939">
        <w:rPr>
          <w:b/>
          <w:sz w:val="28"/>
          <w:szCs w:val="28"/>
          <w:lang w:eastAsia="ar-SA"/>
        </w:rPr>
        <w:t>Награждение</w:t>
      </w:r>
    </w:p>
    <w:p w:rsidR="00460939" w:rsidRPr="00460939" w:rsidRDefault="00460939" w:rsidP="00460939">
      <w:pPr>
        <w:ind w:left="2832" w:right="-24" w:firstLine="708"/>
        <w:rPr>
          <w:b/>
          <w:sz w:val="28"/>
          <w:szCs w:val="28"/>
          <w:lang w:eastAsia="ar-SA"/>
        </w:rPr>
      </w:pPr>
    </w:p>
    <w:p w:rsidR="005F749E" w:rsidRDefault="00460939" w:rsidP="00580CA9">
      <w:pPr>
        <w:suppressAutoHyphens/>
        <w:spacing w:line="276" w:lineRule="auto"/>
        <w:ind w:firstLine="708"/>
        <w:jc w:val="both"/>
        <w:rPr>
          <w:b/>
          <w:sz w:val="28"/>
          <w:szCs w:val="28"/>
          <w:lang w:eastAsia="ar-SA"/>
        </w:rPr>
      </w:pPr>
      <w:r>
        <w:rPr>
          <w:rFonts w:eastAsia="MS Mincho"/>
          <w:bCs/>
          <w:iCs/>
        </w:rPr>
        <w:t>8</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460939"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460939"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460939" w:rsidP="00460939">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 xml:space="preserve">9.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460939" w:rsidP="00460939">
      <w:pPr>
        <w:keepNext/>
        <w:keepLines/>
        <w:tabs>
          <w:tab w:val="left" w:pos="0"/>
        </w:tabs>
        <w:suppressAutoHyphens/>
        <w:autoSpaceDE w:val="0"/>
        <w:autoSpaceDN w:val="0"/>
        <w:adjustRightInd w:val="0"/>
        <w:jc w:val="both"/>
        <w:rPr>
          <w:rFonts w:eastAsia="MS Mincho"/>
          <w:bCs/>
          <w:iCs/>
        </w:rPr>
      </w:pPr>
      <w:r>
        <w:rPr>
          <w:rFonts w:eastAsia="MS Mincho"/>
          <w:bCs/>
          <w:iCs/>
        </w:rPr>
        <w:tab/>
        <w:t xml:space="preserve">9.1.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E7" w:rsidRDefault="00FA2AE7" w:rsidP="00332401">
      <w:r>
        <w:separator/>
      </w:r>
    </w:p>
  </w:endnote>
  <w:endnote w:type="continuationSeparator" w:id="0">
    <w:p w:rsidR="00FA2AE7" w:rsidRDefault="00FA2AE7"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7C08EA">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E7" w:rsidRDefault="00FA2AE7" w:rsidP="00332401">
      <w:r>
        <w:separator/>
      </w:r>
    </w:p>
  </w:footnote>
  <w:footnote w:type="continuationSeparator" w:id="0">
    <w:p w:rsidR="00FA2AE7" w:rsidRDefault="00FA2AE7"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0C7347F5"/>
    <w:multiLevelType w:val="multilevel"/>
    <w:tmpl w:val="76ECCEBE"/>
    <w:lvl w:ilvl="0">
      <w:start w:val="1"/>
      <w:numFmt w:val="decimal"/>
      <w:lvlText w:val="%1."/>
      <w:lvlJc w:val="left"/>
      <w:pPr>
        <w:ind w:left="360" w:firstLine="0"/>
      </w:pPr>
      <w:rPr>
        <w:sz w:val="28"/>
        <w:szCs w:val="28"/>
        <w:vertAlign w:val="baseline"/>
      </w:rPr>
    </w:lvl>
    <w:lvl w:ilvl="1">
      <w:start w:val="1"/>
      <w:numFmt w:val="decimal"/>
      <w:lvlText w:val="%1.%2."/>
      <w:lvlJc w:val="left"/>
      <w:pPr>
        <w:ind w:left="792" w:firstLine="360"/>
      </w:pPr>
      <w:rPr>
        <w:sz w:val="28"/>
        <w:szCs w:val="28"/>
        <w:vertAlign w:val="baseline"/>
      </w:rPr>
    </w:lvl>
    <w:lvl w:ilvl="2">
      <w:start w:val="1"/>
      <w:numFmt w:val="decimal"/>
      <w:lvlText w:val="%1.%2.%3."/>
      <w:lvlJc w:val="left"/>
      <w:pPr>
        <w:ind w:left="1224" w:firstLine="720"/>
      </w:pPr>
      <w:rPr>
        <w:sz w:val="28"/>
        <w:szCs w:val="28"/>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15:restartNumberingAfterBreak="0">
    <w:nsid w:val="0D7902EB"/>
    <w:multiLevelType w:val="multilevel"/>
    <w:tmpl w:val="60CC0E3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1"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9"/>
  </w:num>
  <w:num w:numId="2">
    <w:abstractNumId w:val="23"/>
  </w:num>
  <w:num w:numId="3">
    <w:abstractNumId w:val="26"/>
  </w:num>
  <w:num w:numId="4">
    <w:abstractNumId w:val="21"/>
  </w:num>
  <w:num w:numId="5">
    <w:abstractNumId w:val="34"/>
  </w:num>
  <w:num w:numId="6">
    <w:abstractNumId w:val="32"/>
  </w:num>
  <w:num w:numId="7">
    <w:abstractNumId w:val="3"/>
  </w:num>
  <w:num w:numId="8">
    <w:abstractNumId w:val="11"/>
  </w:num>
  <w:num w:numId="9">
    <w:abstractNumId w:val="14"/>
  </w:num>
  <w:num w:numId="10">
    <w:abstractNumId w:val="22"/>
  </w:num>
  <w:num w:numId="11">
    <w:abstractNumId w:val="15"/>
  </w:num>
  <w:num w:numId="12">
    <w:abstractNumId w:val="25"/>
  </w:num>
  <w:num w:numId="13">
    <w:abstractNumId w:val="2"/>
  </w:num>
  <w:num w:numId="14">
    <w:abstractNumId w:val="20"/>
  </w:num>
  <w:num w:numId="15">
    <w:abstractNumId w:val="29"/>
  </w:num>
  <w:num w:numId="16">
    <w:abstractNumId w:val="7"/>
  </w:num>
  <w:num w:numId="17">
    <w:abstractNumId w:val="16"/>
  </w:num>
  <w:num w:numId="18">
    <w:abstractNumId w:val="6"/>
  </w:num>
  <w:num w:numId="19">
    <w:abstractNumId w:val="9"/>
  </w:num>
  <w:num w:numId="20">
    <w:abstractNumId w:val="28"/>
  </w:num>
  <w:num w:numId="21">
    <w:abstractNumId w:val="17"/>
  </w:num>
  <w:num w:numId="22">
    <w:abstractNumId w:val="30"/>
  </w:num>
  <w:num w:numId="23">
    <w:abstractNumId w:val="18"/>
  </w:num>
  <w:num w:numId="24">
    <w:abstractNumId w:val="27"/>
  </w:num>
  <w:num w:numId="25">
    <w:abstractNumId w:val="0"/>
  </w:num>
  <w:num w:numId="26">
    <w:abstractNumId w:val="1"/>
  </w:num>
  <w:num w:numId="27">
    <w:abstractNumId w:val="24"/>
  </w:num>
  <w:num w:numId="28">
    <w:abstractNumId w:val="8"/>
  </w:num>
  <w:num w:numId="29">
    <w:abstractNumId w:val="10"/>
  </w:num>
  <w:num w:numId="30">
    <w:abstractNumId w:val="31"/>
  </w:num>
  <w:num w:numId="31">
    <w:abstractNumId w:val="33"/>
  </w:num>
  <w:num w:numId="32">
    <w:abstractNumId w:val="13"/>
  </w:num>
  <w:num w:numId="33">
    <w:abstractNumId w:val="12"/>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0939"/>
    <w:rsid w:val="00464B9B"/>
    <w:rsid w:val="00466A03"/>
    <w:rsid w:val="00471214"/>
    <w:rsid w:val="00473CBE"/>
    <w:rsid w:val="00476B06"/>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08EA"/>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767DF"/>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468C2"/>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73974"/>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1026"/>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2AE7"/>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6A65"/>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sss.ru/sites/mrsss.ru/files/polozhenie_xxxii_mss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C77E-8915-4055-B680-5442879C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cp:revision>
  <cp:lastPrinted>2019-05-02T14:38:00Z</cp:lastPrinted>
  <dcterms:created xsi:type="dcterms:W3CDTF">2020-01-15T09:35:00Z</dcterms:created>
  <dcterms:modified xsi:type="dcterms:W3CDTF">2020-01-15T13:59:00Z</dcterms:modified>
</cp:coreProperties>
</file>